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9D" w:rsidRPr="00FE4584" w:rsidRDefault="00D5109D" w:rsidP="00D5109D">
      <w:pPr>
        <w:jc w:val="center"/>
        <w:rPr>
          <w:b/>
          <w:sz w:val="36"/>
          <w:szCs w:val="36"/>
        </w:rPr>
      </w:pPr>
      <w:r w:rsidRPr="00FE4584">
        <w:rPr>
          <w:b/>
          <w:sz w:val="36"/>
          <w:szCs w:val="36"/>
        </w:rPr>
        <w:t xml:space="preserve">Evolution de la taxe foncière </w:t>
      </w:r>
      <w:r>
        <w:rPr>
          <w:b/>
          <w:sz w:val="36"/>
          <w:szCs w:val="36"/>
        </w:rPr>
        <w:t xml:space="preserve">à Pontoise </w:t>
      </w:r>
      <w:r w:rsidRPr="00FE4584">
        <w:rPr>
          <w:b/>
          <w:sz w:val="36"/>
          <w:szCs w:val="36"/>
        </w:rPr>
        <w:t>entre 2015 et 2016</w:t>
      </w:r>
    </w:p>
    <w:p w:rsidR="00195999" w:rsidRPr="00FE4584" w:rsidRDefault="00195999" w:rsidP="00FE4584">
      <w:pPr>
        <w:jc w:val="center"/>
        <w:rPr>
          <w:sz w:val="28"/>
          <w:szCs w:val="28"/>
        </w:rPr>
      </w:pPr>
    </w:p>
    <w:p w:rsidR="00FE4584" w:rsidRPr="00FE4584" w:rsidRDefault="00FE4584" w:rsidP="00FE4584">
      <w:pPr>
        <w:jc w:val="center"/>
        <w:rPr>
          <w:sz w:val="28"/>
          <w:szCs w:val="28"/>
        </w:rPr>
      </w:pPr>
    </w:p>
    <w:p w:rsidR="00FE4584" w:rsidRPr="00FE4584" w:rsidRDefault="00FE4584" w:rsidP="00FE4584">
      <w:pPr>
        <w:jc w:val="center"/>
        <w:rPr>
          <w:sz w:val="28"/>
          <w:szCs w:val="28"/>
        </w:rPr>
      </w:pPr>
    </w:p>
    <w:p w:rsidR="00FE4584" w:rsidRPr="00FE4584" w:rsidRDefault="00FE4584" w:rsidP="00FE4584">
      <w:pPr>
        <w:jc w:val="center"/>
        <w:rPr>
          <w:sz w:val="28"/>
          <w:szCs w:val="28"/>
        </w:rPr>
      </w:pPr>
    </w:p>
    <w:tbl>
      <w:tblPr>
        <w:tblStyle w:val="Grilledutableau"/>
        <w:tblpPr w:leftFromText="141" w:rightFromText="141" w:horzAnchor="margin" w:tblpXSpec="center" w:tblpY="1080"/>
        <w:tblW w:w="12006" w:type="dxa"/>
        <w:tblLayout w:type="fixed"/>
        <w:tblLook w:val="01E0"/>
      </w:tblPr>
      <w:tblGrid>
        <w:gridCol w:w="1604"/>
        <w:gridCol w:w="1457"/>
        <w:gridCol w:w="1705"/>
        <w:gridCol w:w="2330"/>
        <w:gridCol w:w="1827"/>
        <w:gridCol w:w="1455"/>
        <w:gridCol w:w="1628"/>
      </w:tblGrid>
      <w:tr w:rsidR="00D5109D" w:rsidRPr="00FE4584" w:rsidTr="00D5109D">
        <w:trPr>
          <w:trHeight w:val="2046"/>
        </w:trPr>
        <w:tc>
          <w:tcPr>
            <w:tcW w:w="1604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</w:p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</w:p>
        </w:tc>
        <w:tc>
          <w:tcPr>
            <w:tcW w:w="1457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Commune (Pontoise)</w:t>
            </w:r>
          </w:p>
        </w:tc>
        <w:tc>
          <w:tcPr>
            <w:tcW w:w="1705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Syndicat de communes</w:t>
            </w:r>
          </w:p>
        </w:tc>
        <w:tc>
          <w:tcPr>
            <w:tcW w:w="2330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Intercommunalité (CACP)</w:t>
            </w:r>
          </w:p>
        </w:tc>
        <w:tc>
          <w:tcPr>
            <w:tcW w:w="1827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Département (Val-d’Oise)</w:t>
            </w:r>
          </w:p>
        </w:tc>
        <w:tc>
          <w:tcPr>
            <w:tcW w:w="1455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Taxes spéciales</w:t>
            </w:r>
          </w:p>
        </w:tc>
        <w:tc>
          <w:tcPr>
            <w:tcW w:w="1628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Ordures ménagères</w:t>
            </w:r>
          </w:p>
        </w:tc>
      </w:tr>
      <w:tr w:rsidR="00D5109D" w:rsidRPr="00FE4584" w:rsidTr="00D5109D">
        <w:trPr>
          <w:trHeight w:val="1184"/>
        </w:trPr>
        <w:tc>
          <w:tcPr>
            <w:tcW w:w="1604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Taux 2015</w:t>
            </w:r>
          </w:p>
        </w:tc>
        <w:tc>
          <w:tcPr>
            <w:tcW w:w="1457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24,89%</w:t>
            </w:r>
          </w:p>
        </w:tc>
        <w:tc>
          <w:tcPr>
            <w:tcW w:w="1705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0,00608%</w:t>
            </w:r>
          </w:p>
        </w:tc>
        <w:tc>
          <w:tcPr>
            <w:tcW w:w="2330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0,242%</w:t>
            </w:r>
          </w:p>
        </w:tc>
        <w:tc>
          <w:tcPr>
            <w:tcW w:w="1827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13,25%</w:t>
            </w:r>
          </w:p>
        </w:tc>
        <w:tc>
          <w:tcPr>
            <w:tcW w:w="1455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0,687%</w:t>
            </w:r>
          </w:p>
        </w:tc>
        <w:tc>
          <w:tcPr>
            <w:tcW w:w="1628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9,63%</w:t>
            </w:r>
          </w:p>
        </w:tc>
      </w:tr>
      <w:tr w:rsidR="00D5109D" w:rsidRPr="00FE4584" w:rsidTr="00D5109D">
        <w:trPr>
          <w:trHeight w:val="1238"/>
        </w:trPr>
        <w:tc>
          <w:tcPr>
            <w:tcW w:w="1604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Taux 2016</w:t>
            </w:r>
          </w:p>
        </w:tc>
        <w:tc>
          <w:tcPr>
            <w:tcW w:w="1457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24,89%</w:t>
            </w:r>
          </w:p>
        </w:tc>
        <w:tc>
          <w:tcPr>
            <w:tcW w:w="1705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0,00583%</w:t>
            </w:r>
          </w:p>
        </w:tc>
        <w:tc>
          <w:tcPr>
            <w:tcW w:w="2330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1,91%</w:t>
            </w:r>
          </w:p>
        </w:tc>
        <w:tc>
          <w:tcPr>
            <w:tcW w:w="1827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17,18%</w:t>
            </w:r>
          </w:p>
        </w:tc>
        <w:tc>
          <w:tcPr>
            <w:tcW w:w="1455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0,652%</w:t>
            </w:r>
          </w:p>
        </w:tc>
        <w:tc>
          <w:tcPr>
            <w:tcW w:w="1628" w:type="dxa"/>
          </w:tcPr>
          <w:p w:rsidR="00D5109D" w:rsidRPr="00FE4584" w:rsidRDefault="00D5109D" w:rsidP="00D5109D">
            <w:pPr>
              <w:widowControl w:val="0"/>
              <w:suppressAutoHyphens/>
              <w:spacing w:before="113" w:after="0" w:line="240" w:lineRule="auto"/>
              <w:jc w:val="center"/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</w:pPr>
            <w:r w:rsidRPr="00FE4584">
              <w:rPr>
                <w:rFonts w:asciiTheme="minorHAnsi" w:eastAsia="SimSun" w:hAnsiTheme="minorHAnsi" w:cs="Mangal"/>
                <w:b/>
                <w:sz w:val="28"/>
                <w:szCs w:val="28"/>
                <w:lang w:eastAsia="zh-CN" w:bidi="hi-IN"/>
              </w:rPr>
              <w:t>9,63%</w:t>
            </w:r>
          </w:p>
        </w:tc>
      </w:tr>
    </w:tbl>
    <w:p w:rsidR="00FE4584" w:rsidRPr="00FE4584" w:rsidRDefault="00FE4584" w:rsidP="00FE4584">
      <w:pPr>
        <w:jc w:val="center"/>
        <w:rPr>
          <w:sz w:val="28"/>
          <w:szCs w:val="28"/>
        </w:rPr>
      </w:pPr>
    </w:p>
    <w:sectPr w:rsidR="00FE4584" w:rsidRPr="00FE4584" w:rsidSect="00FE45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4584"/>
    <w:rsid w:val="00195999"/>
    <w:rsid w:val="00D5109D"/>
    <w:rsid w:val="00DC112D"/>
    <w:rsid w:val="00FE4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84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E4584"/>
    <w:rPr>
      <w:rFonts w:ascii="Calibri" w:eastAsia="Calibri" w:hAnsi="Calibri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</dc:creator>
  <cp:lastModifiedBy>Madelin</cp:lastModifiedBy>
  <cp:revision>2</cp:revision>
  <dcterms:created xsi:type="dcterms:W3CDTF">2016-10-15T13:41:00Z</dcterms:created>
  <dcterms:modified xsi:type="dcterms:W3CDTF">2016-10-17T13:11:00Z</dcterms:modified>
</cp:coreProperties>
</file>